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5615A" w14:textId="77777777" w:rsidR="00F600DD" w:rsidRDefault="00C73B7E">
      <w:pPr>
        <w:spacing w:after="20"/>
        <w:jc w:val="center"/>
      </w:pPr>
      <w:r>
        <w:rPr>
          <w:b/>
          <w:bCs/>
        </w:rPr>
        <w:t>COMMONWEALTH OF MASSACHUSETTS</w:t>
      </w:r>
    </w:p>
    <w:p w14:paraId="19449E07" w14:textId="77777777" w:rsidR="00F600DD" w:rsidRDefault="00C73B7E">
      <w:pPr>
        <w:spacing w:after="300"/>
        <w:jc w:val="center"/>
      </w:pPr>
      <w:r>
        <w:rPr>
          <w:b/>
          <w:bCs/>
        </w:rPr>
        <w:t>SUPERIOR COURT DEPARTMENT</w:t>
      </w:r>
    </w:p>
    <w:p w14:paraId="786F2E55" w14:textId="77777777" w:rsidR="00F600DD" w:rsidRDefault="00C73B7E">
      <w:pPr>
        <w:spacing w:after="20"/>
      </w:pPr>
      <w:r>
        <w:t>PAUL CARNIE,</w:t>
      </w:r>
    </w:p>
    <w:p w14:paraId="5C517122" w14:textId="77777777" w:rsidR="00F600DD" w:rsidRDefault="00C73B7E">
      <w:pPr>
        <w:spacing w:after="200"/>
        <w:ind w:left="2880"/>
      </w:pPr>
      <w:r>
        <w:t>Plaintiff,</w:t>
      </w:r>
    </w:p>
    <w:p w14:paraId="3B6E01BD" w14:textId="77777777" w:rsidR="00F600DD" w:rsidRDefault="00C73B7E">
      <w:pPr>
        <w:tabs>
          <w:tab w:val="right" w:pos="9026"/>
        </w:tabs>
        <w:spacing w:after="200"/>
      </w:pPr>
      <w:r>
        <w:t>v.</w:t>
      </w:r>
      <w:r>
        <w:tab/>
        <w:t>Civil Action No. _______________</w:t>
      </w:r>
    </w:p>
    <w:p w14:paraId="06458814" w14:textId="77777777" w:rsidR="00F600DD" w:rsidRDefault="00C73B7E">
      <w:pPr>
        <w:spacing w:after="20"/>
        <w:jc w:val="both"/>
      </w:pPr>
      <w:r>
        <w:t>THE GENERAL COURT OF MASSACHUSETTS; RONALD MARIANO, in his official capacity as Speaker of the House; KAREN SPILKA, in her official capacity as President of the Senate; and ANDREA JOY CAMPBELL, in her official capacity as Attorney General,</w:t>
      </w:r>
    </w:p>
    <w:p w14:paraId="348227A1" w14:textId="77777777" w:rsidR="00F600DD" w:rsidRDefault="00C73B7E">
      <w:pPr>
        <w:spacing w:after="200"/>
        <w:ind w:left="2880"/>
        <w:jc w:val="both"/>
      </w:pPr>
      <w:r>
        <w:t>Defendants.</w:t>
      </w:r>
    </w:p>
    <w:p w14:paraId="00372675" w14:textId="77777777" w:rsidR="00F600DD" w:rsidRDefault="00F600DD">
      <w:pPr>
        <w:pBdr>
          <w:bottom w:val="single" w:sz="6" w:space="1" w:color="000000"/>
        </w:pBdr>
        <w:spacing w:after="300"/>
      </w:pPr>
    </w:p>
    <w:p w14:paraId="5ECAF73F" w14:textId="77777777" w:rsidR="00F600DD" w:rsidRDefault="00C73B7E">
      <w:pPr>
        <w:spacing w:after="300"/>
        <w:jc w:val="center"/>
      </w:pPr>
      <w:r>
        <w:rPr>
          <w:b/>
          <w:bCs/>
          <w:sz w:val="26"/>
          <w:szCs w:val="26"/>
        </w:rPr>
        <w:t>VERIFIED COMPLAINT FOR DECLARATORY AND INJUNCTIVE RELIEF AND FOR RELIEF FORMERLY AVAILABLE BY WRIT OF MANDAMUS</w:t>
      </w:r>
    </w:p>
    <w:p w14:paraId="2B7C1431" w14:textId="77777777" w:rsidR="00F600DD" w:rsidRDefault="00C73B7E">
      <w:pPr>
        <w:spacing w:after="240"/>
        <w:jc w:val="both"/>
      </w:pPr>
      <w:r>
        <w:t>Plaintiff Paul Carnie respectfully states as follows:</w:t>
      </w:r>
    </w:p>
    <w:p w14:paraId="521F57AB" w14:textId="77777777" w:rsidR="00F600DD" w:rsidRDefault="00C73B7E">
      <w:pPr>
        <w:spacing w:before="300" w:after="200"/>
      </w:pPr>
      <w:r>
        <w:rPr>
          <w:b/>
          <w:bCs/>
        </w:rPr>
        <w:t>I. NATURE OF THE ACTION</w:t>
      </w:r>
    </w:p>
    <w:p w14:paraId="177319FC" w14:textId="77777777" w:rsidR="00F600DD" w:rsidRDefault="00C73B7E">
      <w:pPr>
        <w:pStyle w:val="ListParagraph"/>
        <w:numPr>
          <w:ilvl w:val="0"/>
          <w:numId w:val="2"/>
        </w:numPr>
        <w:spacing w:after="200"/>
        <w:jc w:val="both"/>
      </w:pPr>
      <w:r>
        <w:t>This is an action seeking a declaration of rights, a determination concerning the existence and scope of any lawful authority asserted for the continued withholding of requested financial records, and such prospective relief as may be necessary to require performance of any ministerial duty established by law.</w:t>
      </w:r>
    </w:p>
    <w:p w14:paraId="35B88A60" w14:textId="77777777" w:rsidR="00F600DD" w:rsidRDefault="00C73B7E">
      <w:pPr>
        <w:pStyle w:val="ListParagraph"/>
        <w:numPr>
          <w:ilvl w:val="0"/>
          <w:numId w:val="2"/>
        </w:numPr>
        <w:spacing w:after="200"/>
        <w:jc w:val="both"/>
      </w:pPr>
      <w:r>
        <w:t xml:space="preserve">Plaintiff does not seek this action as an accusation, a demand for punishment, or a request that the Court accept conclusions </w:t>
      </w:r>
      <w:proofErr w:type="gramStart"/>
      <w:r>
        <w:t>unsupported</w:t>
      </w:r>
      <w:proofErr w:type="gramEnd"/>
      <w:r>
        <w:t xml:space="preserve"> by the record.</w:t>
      </w:r>
    </w:p>
    <w:p w14:paraId="03A156B3" w14:textId="77777777" w:rsidR="00F600DD" w:rsidRDefault="00C73B7E">
      <w:pPr>
        <w:pStyle w:val="ListParagraph"/>
        <w:numPr>
          <w:ilvl w:val="0"/>
          <w:numId w:val="2"/>
        </w:numPr>
        <w:spacing w:after="200"/>
        <w:jc w:val="both"/>
      </w:pPr>
      <w:r>
        <w:t xml:space="preserve">Plaintiff seeks constitutional visibility and lawful review of a defined record. The question presented is whether the authority </w:t>
      </w:r>
      <w:proofErr w:type="gramStart"/>
      <w:r>
        <w:t>asserted for</w:t>
      </w:r>
      <w:proofErr w:type="gramEnd"/>
      <w:r>
        <w:t xml:space="preserve"> continued refusal or nonproduction can be demonstrated through the lawful chain from which it claims to derive.</w:t>
      </w:r>
    </w:p>
    <w:p w14:paraId="5F87D1FD" w14:textId="77777777" w:rsidR="00F600DD" w:rsidRDefault="00C73B7E">
      <w:pPr>
        <w:pStyle w:val="ListParagraph"/>
        <w:numPr>
          <w:ilvl w:val="0"/>
          <w:numId w:val="2"/>
        </w:numPr>
        <w:spacing w:after="200"/>
        <w:jc w:val="both"/>
      </w:pPr>
      <w:r>
        <w:t xml:space="preserve">Plaintiff’s record consists of the March 27, </w:t>
      </w:r>
      <w:proofErr w:type="gramStart"/>
      <w:r>
        <w:t>2026</w:t>
      </w:r>
      <w:proofErr w:type="gramEnd"/>
      <w:r>
        <w:t xml:space="preserve"> Notice, the June 4, </w:t>
      </w:r>
      <w:proofErr w:type="gramStart"/>
      <w:r>
        <w:t>2026</w:t>
      </w:r>
      <w:proofErr w:type="gramEnd"/>
      <w:r>
        <w:t xml:space="preserve"> Notice of Default, the Affidavit of Default, the Presumption Notice, the Supreme Judicial Court’s Order of May 7, 2026, Senate Resolution S3104, proofs of delivery, and all responses or nonresponses preserved as exhibits.</w:t>
      </w:r>
    </w:p>
    <w:p w14:paraId="788FC341" w14:textId="77777777" w:rsidR="00F600DD" w:rsidRDefault="00C73B7E">
      <w:pPr>
        <w:spacing w:before="300" w:after="200"/>
      </w:pPr>
      <w:r>
        <w:rPr>
          <w:b/>
          <w:bCs/>
        </w:rPr>
        <w:t>II. PARTIES</w:t>
      </w:r>
    </w:p>
    <w:p w14:paraId="3E42877B" w14:textId="77777777" w:rsidR="00F600DD" w:rsidRDefault="00C73B7E">
      <w:pPr>
        <w:pStyle w:val="ListParagraph"/>
        <w:numPr>
          <w:ilvl w:val="0"/>
          <w:numId w:val="3"/>
        </w:numPr>
        <w:spacing w:after="200"/>
        <w:jc w:val="both"/>
      </w:pPr>
      <w:r>
        <w:t>Plaintiff Paul Carnie is one of the People, sui juris, and is a resident of ________________________________, Massachusetts.</w:t>
      </w:r>
    </w:p>
    <w:p w14:paraId="19543EB2" w14:textId="77777777" w:rsidR="00F600DD" w:rsidRDefault="00C73B7E">
      <w:pPr>
        <w:pStyle w:val="ListParagraph"/>
        <w:numPr>
          <w:ilvl w:val="0"/>
          <w:numId w:val="3"/>
        </w:numPr>
        <w:spacing w:after="200"/>
        <w:jc w:val="both"/>
      </w:pPr>
      <w:r>
        <w:t>Defendant General Court of Massachusetts is the legislative body of the Commonwealth.</w:t>
      </w:r>
    </w:p>
    <w:p w14:paraId="4FF5F14E" w14:textId="77777777" w:rsidR="00F600DD" w:rsidRDefault="00C73B7E">
      <w:pPr>
        <w:pStyle w:val="ListParagraph"/>
        <w:numPr>
          <w:ilvl w:val="0"/>
          <w:numId w:val="3"/>
        </w:numPr>
        <w:spacing w:after="200"/>
        <w:jc w:val="both"/>
      </w:pPr>
      <w:r>
        <w:lastRenderedPageBreak/>
        <w:t>Defendant Ronald Mariano is sued solely in his official capacity as Speaker of the House to the extent he possesses custody, control, direction, or responsibility concerning the records and conduct at issue.</w:t>
      </w:r>
    </w:p>
    <w:p w14:paraId="2937117B" w14:textId="77777777" w:rsidR="00F600DD" w:rsidRDefault="00C73B7E">
      <w:pPr>
        <w:pStyle w:val="ListParagraph"/>
        <w:numPr>
          <w:ilvl w:val="0"/>
          <w:numId w:val="3"/>
        </w:numPr>
        <w:spacing w:after="200"/>
        <w:jc w:val="both"/>
      </w:pPr>
      <w:r>
        <w:t>Defendant Karen Spilka is sued solely in her official capacity as President of the Senate to the extent she possesses custody, control, direction, or responsibility concerning the records and conduct at issue.</w:t>
      </w:r>
    </w:p>
    <w:p w14:paraId="40A674D9" w14:textId="77777777" w:rsidR="00F600DD" w:rsidRDefault="00C73B7E">
      <w:pPr>
        <w:pStyle w:val="ListParagraph"/>
        <w:numPr>
          <w:ilvl w:val="0"/>
          <w:numId w:val="3"/>
        </w:numPr>
        <w:spacing w:after="200"/>
        <w:jc w:val="both"/>
      </w:pPr>
      <w:r>
        <w:t>Defendant Andrea Joy Campbell is sued solely in her official capacity as Attorney General to the extent she possesses a duty concerning the enforcement, interpretation, defense, or review of the public obligations placed at issue in this action.</w:t>
      </w:r>
    </w:p>
    <w:p w14:paraId="4CDD8884" w14:textId="77777777" w:rsidR="00F600DD" w:rsidRDefault="00C73B7E">
      <w:pPr>
        <w:spacing w:before="300" w:after="200"/>
      </w:pPr>
      <w:r>
        <w:rPr>
          <w:b/>
          <w:bCs/>
        </w:rPr>
        <w:t>III. JURISDICTION AND VENUE</w:t>
      </w:r>
    </w:p>
    <w:p w14:paraId="69CB0811" w14:textId="77777777" w:rsidR="00F600DD" w:rsidRDefault="00C73B7E">
      <w:pPr>
        <w:pStyle w:val="ListParagraph"/>
        <w:numPr>
          <w:ilvl w:val="0"/>
          <w:numId w:val="4"/>
        </w:numPr>
        <w:spacing w:after="200"/>
        <w:jc w:val="both"/>
      </w:pPr>
      <w:r>
        <w:t>This Court has jurisdiction over this civil action seeking declaratory and injunctive relief and relief formerly available through mandamus, subject to all applicable constitutional, statutory, and procedural requirements.</w:t>
      </w:r>
    </w:p>
    <w:p w14:paraId="2D016565" w14:textId="77777777" w:rsidR="00F600DD" w:rsidRDefault="00C73B7E">
      <w:pPr>
        <w:pStyle w:val="ListParagraph"/>
        <w:numPr>
          <w:ilvl w:val="0"/>
          <w:numId w:val="4"/>
        </w:numPr>
        <w:spacing w:after="200"/>
        <w:jc w:val="both"/>
      </w:pPr>
      <w:r>
        <w:t>Venue is proper in this Court because the acts and omissions challenged occurred, or are being maintained, within the Commonwealth of Massachusetts.</w:t>
      </w:r>
    </w:p>
    <w:p w14:paraId="299B98C7" w14:textId="77777777" w:rsidR="00F600DD" w:rsidRDefault="00C73B7E">
      <w:pPr>
        <w:spacing w:before="300" w:after="200"/>
      </w:pPr>
      <w:r>
        <w:rPr>
          <w:b/>
          <w:bCs/>
        </w:rPr>
        <w:t>IV. FACTUAL RECORD</w:t>
      </w:r>
    </w:p>
    <w:p w14:paraId="5140CFE7" w14:textId="77777777" w:rsidR="00F600DD" w:rsidRDefault="00C73B7E">
      <w:pPr>
        <w:pStyle w:val="ListParagraph"/>
        <w:numPr>
          <w:ilvl w:val="0"/>
          <w:numId w:val="5"/>
        </w:numPr>
        <w:spacing w:after="200"/>
        <w:jc w:val="both"/>
      </w:pPr>
      <w:r>
        <w:t>On March 7, 2023, State Auditor Diana DiZoglio publicly announced that her office had launched a performance audit of the Massachusetts Legislature.</w:t>
      </w:r>
    </w:p>
    <w:p w14:paraId="3E74A0F1" w14:textId="77777777" w:rsidR="00F600DD" w:rsidRDefault="00C73B7E">
      <w:pPr>
        <w:pStyle w:val="ListParagraph"/>
        <w:numPr>
          <w:ilvl w:val="0"/>
          <w:numId w:val="5"/>
        </w:numPr>
        <w:spacing w:after="200"/>
        <w:jc w:val="both"/>
      </w:pPr>
      <w:r>
        <w:t>From March 2023 onward, legislative leadership resisted audit access on separation-of-powers grounds, and on October 30, 2024, a spokesperson for Speaker Ronald Mariano stated publicly that passage of the then-pending ballot question would not cure what the Speaker viewed as the initiative’s constitutional defect.</w:t>
      </w:r>
    </w:p>
    <w:p w14:paraId="1B4F1718" w14:textId="77777777" w:rsidR="00F600DD" w:rsidRDefault="00C73B7E">
      <w:pPr>
        <w:pStyle w:val="ListParagraph"/>
        <w:numPr>
          <w:ilvl w:val="0"/>
          <w:numId w:val="5"/>
        </w:numPr>
        <w:spacing w:after="200"/>
        <w:jc w:val="both"/>
      </w:pPr>
      <w:r>
        <w:t>On November 5, 2024, the People of the Commonwealth approved Question 1 by approximately seventy-two percent, which measure was thereafter codified as Chapter 250 of the Acts of 2024 and M.G.L. c. 11, § 12, and which took effect January 3, 2025.</w:t>
      </w:r>
    </w:p>
    <w:p w14:paraId="4435A984" w14:textId="77777777" w:rsidR="00F600DD" w:rsidRDefault="00C73B7E">
      <w:pPr>
        <w:pStyle w:val="ListParagraph"/>
        <w:numPr>
          <w:ilvl w:val="0"/>
          <w:numId w:val="5"/>
        </w:numPr>
        <w:spacing w:after="200"/>
        <w:jc w:val="both"/>
      </w:pPr>
      <w:r>
        <w:t>On or about November 6, 2024, Speaker Mariano and Senate President Karen Spilka issued a joint public statement indicating that they would consider next steps consistent with the election result and with separation of powers.</w:t>
      </w:r>
    </w:p>
    <w:p w14:paraId="59B516D3" w14:textId="77777777" w:rsidR="00F600DD" w:rsidRDefault="00C73B7E">
      <w:pPr>
        <w:pStyle w:val="ListParagraph"/>
        <w:numPr>
          <w:ilvl w:val="0"/>
          <w:numId w:val="5"/>
        </w:numPr>
        <w:spacing w:after="200"/>
        <w:jc w:val="both"/>
      </w:pPr>
      <w:r>
        <w:t xml:space="preserve">On January 6, 2025, the Office of the State Auditor sent the Senate a request for documents related to the proposed performance audit. Public reporting thereafter indicated that the statute remained unenforced for more than a year because legislative leaders continued to decline compliance on the asserted </w:t>
      </w:r>
      <w:proofErr w:type="gramStart"/>
      <w:r>
        <w:t>ground</w:t>
      </w:r>
      <w:proofErr w:type="gramEnd"/>
      <w:r>
        <w:t xml:space="preserve"> that the statute was unconstitutional.</w:t>
      </w:r>
    </w:p>
    <w:p w14:paraId="13398FBF" w14:textId="77777777" w:rsidR="00F600DD" w:rsidRDefault="00C73B7E">
      <w:pPr>
        <w:pStyle w:val="ListParagraph"/>
        <w:numPr>
          <w:ilvl w:val="0"/>
          <w:numId w:val="5"/>
        </w:numPr>
        <w:spacing w:after="200"/>
        <w:jc w:val="both"/>
      </w:pPr>
      <w:r>
        <w:t>On February 10, 2026, the State Auditor filed suit in the Supreme Judicial Court, DiZoglio v. Mariano, to compel compliance with the voter-approved audit law.</w:t>
      </w:r>
    </w:p>
    <w:p w14:paraId="224C45DD" w14:textId="77777777" w:rsidR="00F600DD" w:rsidRDefault="00C73B7E">
      <w:pPr>
        <w:pStyle w:val="ListParagraph"/>
        <w:numPr>
          <w:ilvl w:val="0"/>
          <w:numId w:val="5"/>
        </w:numPr>
        <w:spacing w:after="200"/>
        <w:jc w:val="both"/>
      </w:pPr>
      <w:r>
        <w:t xml:space="preserve">On May 7, 2026, the Supreme Judicial Court issued an order concluding that the Auditor’s litigation was then limited to the four categories of records identified in the Office of the </w:t>
      </w:r>
      <w:r>
        <w:lastRenderedPageBreak/>
        <w:t>State Auditor’s letter of January 6, 2025: chamber budgets, official audits, balance-forward transaction records, and settlement agreements, each for fiscal years 2021 through 2024.</w:t>
      </w:r>
    </w:p>
    <w:p w14:paraId="632100F5" w14:textId="77777777" w:rsidR="00F600DD" w:rsidRDefault="00C73B7E">
      <w:pPr>
        <w:pStyle w:val="ListParagraph"/>
        <w:numPr>
          <w:ilvl w:val="0"/>
          <w:numId w:val="5"/>
        </w:numPr>
        <w:spacing w:after="200"/>
        <w:jc w:val="both"/>
      </w:pPr>
      <w:r>
        <w:t>Thereafter, the Senate adopted Resolution S3104, resolving to provide the four narrowed categories of records voluntarily while expressly declining to concede that it may be audited pursuant to M.G.L. c. 11, § 12 without violating the Constitution of the Commonwealth, and reserving all rights to object to any such audit on grounds including the Senate’s constitutional rulemaking authority, separation of powers, legislative immunity and privilege, and the legal presumption that statutes operate prospectively</w:t>
      </w:r>
      <w:r>
        <w:t>. Resolution S3104 is incorporated by reference and should be maintained as an exhibit to this Complaint.</w:t>
      </w:r>
    </w:p>
    <w:p w14:paraId="042E9066" w14:textId="77777777" w:rsidR="00F600DD" w:rsidRDefault="00C73B7E">
      <w:pPr>
        <w:pStyle w:val="ListParagraph"/>
        <w:numPr>
          <w:ilvl w:val="0"/>
          <w:numId w:val="5"/>
        </w:numPr>
        <w:spacing w:after="200"/>
        <w:jc w:val="both"/>
      </w:pPr>
      <w:r>
        <w:t>Notwithstanding Resolution S3104 and the partial production described above, no Respondent has, to date, provided a sworn statement identifying the constitutional source, scope, and limits of any authority relied upon for withholding records beyond the four narrowed categories, or for declining to concede the constitutionality of M.G.L. c. 11, § 12 as applied to the Legislature.</w:t>
      </w:r>
    </w:p>
    <w:p w14:paraId="096640EC" w14:textId="77777777" w:rsidR="00F600DD" w:rsidRDefault="00C73B7E">
      <w:pPr>
        <w:pStyle w:val="ListParagraph"/>
        <w:numPr>
          <w:ilvl w:val="0"/>
          <w:numId w:val="5"/>
        </w:numPr>
        <w:spacing w:after="200"/>
        <w:jc w:val="both"/>
      </w:pPr>
      <w:r>
        <w:t xml:space="preserve">Plaintiff’s March 27, </w:t>
      </w:r>
      <w:proofErr w:type="gramStart"/>
      <w:r>
        <w:t>2026</w:t>
      </w:r>
      <w:proofErr w:type="gramEnd"/>
      <w:r>
        <w:t xml:space="preserve"> Notice placed Defendants on record regarding the continued failure to produce financial records requested for audit and the claimed obligation to provide those records to the State Auditor.</w:t>
      </w:r>
    </w:p>
    <w:p w14:paraId="32D54320" w14:textId="77777777" w:rsidR="00F600DD" w:rsidRDefault="00C73B7E">
      <w:pPr>
        <w:pStyle w:val="ListParagraph"/>
        <w:numPr>
          <w:ilvl w:val="0"/>
          <w:numId w:val="5"/>
        </w:numPr>
        <w:spacing w:after="200"/>
        <w:jc w:val="both"/>
      </w:pPr>
      <w:proofErr w:type="gramStart"/>
      <w:r>
        <w:t>The March</w:t>
      </w:r>
      <w:proofErr w:type="gramEnd"/>
      <w:r>
        <w:t xml:space="preserve"> 27, </w:t>
      </w:r>
      <w:proofErr w:type="gramStart"/>
      <w:r>
        <w:t>2026</w:t>
      </w:r>
      <w:proofErr w:type="gramEnd"/>
      <w:r>
        <w:t xml:space="preserve"> Notice requested that Defendants either produce the records, cure the condition identified, or provide a sworn statement demonstrating the lawful authority for any refusal, limitation, or nonproduction.</w:t>
      </w:r>
    </w:p>
    <w:p w14:paraId="3A7CEE9A" w14:textId="77777777" w:rsidR="00F600DD" w:rsidRDefault="00C73B7E">
      <w:pPr>
        <w:pStyle w:val="ListParagraph"/>
        <w:numPr>
          <w:ilvl w:val="0"/>
          <w:numId w:val="5"/>
        </w:numPr>
        <w:spacing w:after="200"/>
        <w:jc w:val="both"/>
      </w:pPr>
      <w:r>
        <w:t>The Notice requested a complete demonstration of the source, scope, limits, jurisdiction, process, and accountability supporting any claimed authority to continue withholding the requested records.</w:t>
      </w:r>
    </w:p>
    <w:p w14:paraId="65DA6AD3" w14:textId="77777777" w:rsidR="00F600DD" w:rsidRDefault="00C73B7E">
      <w:pPr>
        <w:pStyle w:val="ListParagraph"/>
        <w:numPr>
          <w:ilvl w:val="0"/>
          <w:numId w:val="5"/>
        </w:numPr>
        <w:spacing w:after="200"/>
        <w:jc w:val="both"/>
      </w:pPr>
      <w:r>
        <w:t xml:space="preserve">The period afforded for response elapsed without a cure sufficient to resolve the matters identified in the March 27, </w:t>
      </w:r>
      <w:proofErr w:type="gramStart"/>
      <w:r>
        <w:t>2026</w:t>
      </w:r>
      <w:proofErr w:type="gramEnd"/>
      <w:r>
        <w:t xml:space="preserve"> Notice.</w:t>
      </w:r>
    </w:p>
    <w:p w14:paraId="07411B8A" w14:textId="77777777" w:rsidR="00F600DD" w:rsidRDefault="00C73B7E">
      <w:pPr>
        <w:pStyle w:val="ListParagraph"/>
        <w:numPr>
          <w:ilvl w:val="0"/>
          <w:numId w:val="5"/>
        </w:numPr>
        <w:spacing w:after="200"/>
        <w:jc w:val="both"/>
      </w:pPr>
      <w:r>
        <w:t>On June 4, 2026, Plaintiff issued the NOTICE OF DEFAULT AND FAILURE TO CURE WITH STRUCTURAL CHALLENGE TO AUTHORITY AND PRESERVATION OF RECORD.</w:t>
      </w:r>
    </w:p>
    <w:p w14:paraId="67CA2C69" w14:textId="77777777" w:rsidR="00F600DD" w:rsidRDefault="00C73B7E">
      <w:pPr>
        <w:pStyle w:val="ListParagraph"/>
        <w:numPr>
          <w:ilvl w:val="0"/>
          <w:numId w:val="5"/>
        </w:numPr>
        <w:spacing w:after="200"/>
        <w:jc w:val="both"/>
      </w:pPr>
      <w:r>
        <w:t>The Notice of Default preserved the continued nonproduction of the requested financial records, the absence of a sworn identification of lawful authority for refusal, and the continuing failure to cure the condition identified in the prior Notice.</w:t>
      </w:r>
    </w:p>
    <w:p w14:paraId="5216A996" w14:textId="77777777" w:rsidR="00F600DD" w:rsidRDefault="00C73B7E">
      <w:pPr>
        <w:pStyle w:val="ListParagraph"/>
        <w:numPr>
          <w:ilvl w:val="0"/>
          <w:numId w:val="5"/>
        </w:numPr>
        <w:spacing w:after="200"/>
        <w:jc w:val="both"/>
      </w:pPr>
      <w:r>
        <w:t>Plaintiff thereafter executed an Affidavit of Default, which preserves the chronology of notice, opportunity to respond, default, and the matters remaining unrebutted.</w:t>
      </w:r>
    </w:p>
    <w:p w14:paraId="4A74B97B" w14:textId="77777777" w:rsidR="00F600DD" w:rsidRDefault="00C73B7E">
      <w:pPr>
        <w:pStyle w:val="ListParagraph"/>
        <w:numPr>
          <w:ilvl w:val="0"/>
          <w:numId w:val="5"/>
        </w:numPr>
        <w:spacing w:after="200"/>
        <w:jc w:val="both"/>
      </w:pPr>
      <w:r>
        <w:t>Plaintiff thereafter issued a Presumption Notice identifying the limited presumptions arising from the unrebutted record, including that authority and jurisdiction for continued nonproduction remain unestablished unless and until demonstrated by competent evidence.</w:t>
      </w:r>
    </w:p>
    <w:p w14:paraId="7AFC834A" w14:textId="77777777" w:rsidR="00F600DD" w:rsidRDefault="00C73B7E">
      <w:pPr>
        <w:pStyle w:val="ListParagraph"/>
        <w:numPr>
          <w:ilvl w:val="0"/>
          <w:numId w:val="5"/>
        </w:numPr>
        <w:spacing w:after="200"/>
        <w:jc w:val="both"/>
      </w:pPr>
      <w:r>
        <w:lastRenderedPageBreak/>
        <w:t xml:space="preserve">Plaintiff has no adequate ordinary means to obtain </w:t>
      </w:r>
      <w:proofErr w:type="gramStart"/>
      <w:r>
        <w:t>a complete</w:t>
      </w:r>
      <w:proofErr w:type="gramEnd"/>
      <w:r>
        <w:t xml:space="preserve"> determination of whether the claimed refusal rests upon a lawful and enforceable duty, a lawful exception, or an asserted authority that has not been demonstrated.</w:t>
      </w:r>
    </w:p>
    <w:p w14:paraId="4445A565" w14:textId="77777777" w:rsidR="00F600DD" w:rsidRDefault="00C73B7E">
      <w:pPr>
        <w:spacing w:before="300" w:after="200"/>
      </w:pPr>
      <w:r>
        <w:rPr>
          <w:b/>
          <w:bCs/>
        </w:rPr>
        <w:t>V. THE SEPARATION-OF-POWERS DEFENSE DOES NOT REACH THE RECORDS AT ISSUE</w:t>
      </w:r>
    </w:p>
    <w:p w14:paraId="3EE6E2BE" w14:textId="77777777" w:rsidR="00F600DD" w:rsidRDefault="00C73B7E">
      <w:pPr>
        <w:pStyle w:val="ListParagraph"/>
        <w:numPr>
          <w:ilvl w:val="0"/>
          <w:numId w:val="6"/>
        </w:numPr>
        <w:spacing w:after="200"/>
        <w:jc w:val="both"/>
      </w:pPr>
      <w:r>
        <w:t xml:space="preserve">The separation of powers is not a mechanism of institutional self-protection but a structural safeguard against the accumulation of power. Montesquieu warned that there is no liberty where the power of judging is joined to the legislative or executive, and Madison adopted that warning as a governing American maxim, explaining that the accumulation of all powers in the same hands, whether of one, a few, or many, may justly be pronounced the very definition of tyranny. </w:t>
      </w:r>
      <w:proofErr w:type="gramStart"/>
      <w:r>
        <w:t>The Federalist</w:t>
      </w:r>
      <w:proofErr w:type="gramEnd"/>
      <w:r>
        <w:t xml:space="preserve"> No. 47 (J. Madison).</w:t>
      </w:r>
    </w:p>
    <w:p w14:paraId="3A955EB4" w14:textId="77777777" w:rsidR="00F600DD" w:rsidRDefault="00C73B7E">
      <w:pPr>
        <w:pStyle w:val="ListParagraph"/>
        <w:numPr>
          <w:ilvl w:val="0"/>
          <w:numId w:val="6"/>
        </w:numPr>
        <w:spacing w:after="200"/>
        <w:jc w:val="both"/>
      </w:pPr>
      <w:r>
        <w:t xml:space="preserve">Article XXX of the Massachusetts Declaration of Rights provides that “the legislative department shall never exercise the executive and judicial powers, or either of them . . . to the end it may be a government of laws and not of men.” Mass. Const. pt. I, art. XXX. By its terms, Article XXX restrains each department from exercising the core functions of another department. It does not, on its face, immunize any department’s financial or administrative records from examination by a coordinate office charged </w:t>
      </w:r>
      <w:r>
        <w:t>by statute with audit responsibility.</w:t>
      </w:r>
    </w:p>
    <w:p w14:paraId="0F5EE467" w14:textId="77777777" w:rsidR="00F600DD" w:rsidRDefault="00C73B7E">
      <w:pPr>
        <w:pStyle w:val="ListParagraph"/>
        <w:numPr>
          <w:ilvl w:val="0"/>
          <w:numId w:val="6"/>
        </w:numPr>
        <w:spacing w:after="200"/>
        <w:jc w:val="both"/>
      </w:pPr>
      <w:r>
        <w:t>Respondents’ reservation of “legislative immunity and privilege” in Resolution S3104 traces to Article XXI, which protects “the freedom of deliberation, speech and debate” from being made “the foundation of any accusation or prosecution, action or complaint.” Mass. Const. pt. I, art. XXI. That protection is textually confined to deliberation, speech, and debate. Respondents have not demonstrated how it extends to chamber budgets, official audits, balance-forward transaction records, or settlement agreements</w:t>
      </w:r>
      <w:r>
        <w:t>.</w:t>
      </w:r>
    </w:p>
    <w:p w14:paraId="466D020F" w14:textId="77777777" w:rsidR="00F600DD" w:rsidRDefault="00C73B7E">
      <w:pPr>
        <w:pStyle w:val="ListParagraph"/>
        <w:numPr>
          <w:ilvl w:val="0"/>
          <w:numId w:val="6"/>
        </w:numPr>
        <w:spacing w:after="200"/>
        <w:jc w:val="both"/>
      </w:pPr>
      <w:r>
        <w:t>Respondents’ reservation of “constitutional rulemaking authority” traces to Part the Second, Chapter I, Section II, Article VII, and Section III, Article X, each of which authorizes a chamber to determine its own rules of proceeding. Those clauses govern internal procedure. Respondents have not demonstrated how a rule of internal proceeding displaces the recordkeeping and production obligations imposed by M.G.L. c. 11, § 12.</w:t>
      </w:r>
    </w:p>
    <w:p w14:paraId="5EF4CD98" w14:textId="77777777" w:rsidR="00F600DD" w:rsidRDefault="00C73B7E">
      <w:pPr>
        <w:pStyle w:val="ListParagraph"/>
        <w:numPr>
          <w:ilvl w:val="0"/>
          <w:numId w:val="6"/>
        </w:numPr>
        <w:spacing w:after="200"/>
        <w:jc w:val="both"/>
      </w:pPr>
      <w:r>
        <w:t>Because the separation of powers exists so that, in Madison’s words, “ambition must be made to counteract ambition,” The Federalist No. 51 (J. Madison), each department retains constitutional arms for its own defense, but those arms are enumerated rather than open-ended. Respondents have identified no enumerated constitutional provision authorizing indefinite nonproduction of financial records requested pursuant to a voter-enacted audit statute.</w:t>
      </w:r>
    </w:p>
    <w:p w14:paraId="70801961" w14:textId="77777777" w:rsidR="00F600DD" w:rsidRDefault="00C73B7E">
      <w:pPr>
        <w:pStyle w:val="ListParagraph"/>
        <w:numPr>
          <w:ilvl w:val="0"/>
          <w:numId w:val="6"/>
        </w:numPr>
        <w:spacing w:after="200"/>
        <w:jc w:val="both"/>
      </w:pPr>
      <w:r>
        <w:t>Plaintiff’s position does not ask this Court to supervise legislative deliberation, committee assignments, floor debate, or policy priorities, each of which may remain within the protection of Article XXX and Article XXI. Plaintiff’s position is limited to the administrative and fiscal records identified in the Office of the State Auditor’s letter of January 6, 2025, and in Resolution S3104: chamber budgets, official audits, balance-forward transaction records, and settlement agreements for fiscal years 202</w:t>
      </w:r>
      <w:r>
        <w:t>1 through 2024.</w:t>
      </w:r>
    </w:p>
    <w:p w14:paraId="7D5AA448" w14:textId="77777777" w:rsidR="00F600DD" w:rsidRDefault="00C73B7E">
      <w:pPr>
        <w:pStyle w:val="ListParagraph"/>
        <w:numPr>
          <w:ilvl w:val="0"/>
          <w:numId w:val="6"/>
        </w:numPr>
        <w:spacing w:after="200"/>
        <w:jc w:val="both"/>
      </w:pPr>
      <w:r>
        <w:lastRenderedPageBreak/>
        <w:t>This distinction is consistent with the authorities recognizing that legislatures are creatures of the constitution and possess only the authority the constitution confers, Vanhorne’s Lessee v. Dorrance, 2 U.S. (2 Dall.) 304, 308 (C.C.D. Pa. 1795); that sovereignty remains with the people and that law limits power, Yick Wo v. Hopkins, 118 U.S. 356, 369-70 (1886); that public officials remain bound by constitutional law, Cooper v. Aaron, 358 U.S. 1, 18 (1958); and that it is the province of the judiciary, ra</w:t>
      </w:r>
      <w:r>
        <w:t xml:space="preserve">ther than a coordinate branch acting unilaterally, to say what the law is, Marbury v. Madison, 5 U.S. (1 </w:t>
      </w:r>
      <w:proofErr w:type="spellStart"/>
      <w:r>
        <w:t>Cranch</w:t>
      </w:r>
      <w:proofErr w:type="spellEnd"/>
      <w:r>
        <w:t>) 137, 177-80 (1803).</w:t>
      </w:r>
    </w:p>
    <w:p w14:paraId="195D5CB6" w14:textId="77777777" w:rsidR="00F600DD" w:rsidRDefault="00C73B7E">
      <w:pPr>
        <w:pStyle w:val="ListParagraph"/>
        <w:numPr>
          <w:ilvl w:val="0"/>
          <w:numId w:val="6"/>
        </w:numPr>
        <w:spacing w:after="200"/>
        <w:jc w:val="both"/>
      </w:pPr>
      <w:r>
        <w:t xml:space="preserve">Resolution S3104 confirms that the constitutional question remains unresolved rather than answered. Respondents agreed to produce the four narrowed record categories “voluntarily” while expressly declining to concede that production may occur without violating the Constitution, and while reserving objection on the grounds addressed in this Section. A reservation of objection is not a demonstration of authority for that objection. Until Respondents identify the specific constitutional text that reaches </w:t>
      </w:r>
      <w:proofErr w:type="gramStart"/>
      <w:r>
        <w:t>financial-record</w:t>
      </w:r>
      <w:proofErr w:type="gramEnd"/>
      <w:r>
        <w:t xml:space="preserve"> </w:t>
      </w:r>
      <w:proofErr w:type="gramStart"/>
      <w:r>
        <w:t>production, and</w:t>
      </w:r>
      <w:proofErr w:type="gramEnd"/>
      <w:r>
        <w:t xml:space="preserve"> reconcile that text with Article V’s command that public officers “are at all times accountable” to the People, Mass. Const. pt. I, art. V, the authority to withhold remains undemonstrated upon the record.</w:t>
      </w:r>
    </w:p>
    <w:p w14:paraId="2DBA8404" w14:textId="77777777" w:rsidR="00F600DD" w:rsidRDefault="00C73B7E">
      <w:pPr>
        <w:spacing w:before="300" w:after="200"/>
      </w:pPr>
      <w:r>
        <w:rPr>
          <w:b/>
          <w:bCs/>
        </w:rPr>
        <w:t>VI. CLAIM FOR DECLARATORY RELIEF</w:t>
      </w:r>
    </w:p>
    <w:p w14:paraId="67675562" w14:textId="77777777" w:rsidR="00F600DD" w:rsidRDefault="00C73B7E">
      <w:pPr>
        <w:pStyle w:val="ListParagraph"/>
        <w:numPr>
          <w:ilvl w:val="0"/>
          <w:numId w:val="7"/>
        </w:numPr>
        <w:spacing w:after="200"/>
        <w:jc w:val="both"/>
      </w:pPr>
      <w:r>
        <w:t>Plaintiff incorporates the preceding paragraphs.</w:t>
      </w:r>
    </w:p>
    <w:p w14:paraId="024378D5" w14:textId="77777777" w:rsidR="00F600DD" w:rsidRDefault="00C73B7E">
      <w:pPr>
        <w:pStyle w:val="ListParagraph"/>
        <w:numPr>
          <w:ilvl w:val="0"/>
          <w:numId w:val="7"/>
        </w:numPr>
        <w:spacing w:after="200"/>
        <w:jc w:val="both"/>
      </w:pPr>
      <w:r>
        <w:t>An actual and justiciable controversy exists concerning whether Defendants possess lawful authority to withhold the financial records requested for audit, whether any asserted authority has been adequately identified, and whether a legal duty exists requiring production or other compliance.</w:t>
      </w:r>
    </w:p>
    <w:p w14:paraId="717F29E4" w14:textId="77777777" w:rsidR="00F600DD" w:rsidRDefault="00C73B7E">
      <w:pPr>
        <w:pStyle w:val="ListParagraph"/>
        <w:numPr>
          <w:ilvl w:val="0"/>
          <w:numId w:val="7"/>
        </w:numPr>
        <w:spacing w:after="200"/>
        <w:jc w:val="both"/>
      </w:pPr>
      <w:r>
        <w:t>Plaintiff seeks a declaration identifying:</w:t>
      </w:r>
    </w:p>
    <w:p w14:paraId="3676F79B" w14:textId="77777777" w:rsidR="00F600DD" w:rsidRDefault="00C73B7E">
      <w:pPr>
        <w:pStyle w:val="ListParagraph"/>
        <w:numPr>
          <w:ilvl w:val="1"/>
          <w:numId w:val="7"/>
        </w:numPr>
        <w:spacing w:after="200"/>
        <w:jc w:val="both"/>
      </w:pPr>
      <w:r>
        <w:t>Whether a duty exists to produce the requested financial records for audit.</w:t>
      </w:r>
    </w:p>
    <w:p w14:paraId="0D05D5BF" w14:textId="77777777" w:rsidR="00F600DD" w:rsidRDefault="00C73B7E">
      <w:pPr>
        <w:pStyle w:val="ListParagraph"/>
        <w:numPr>
          <w:ilvl w:val="1"/>
          <w:numId w:val="7"/>
        </w:numPr>
        <w:spacing w:after="200"/>
        <w:jc w:val="both"/>
      </w:pPr>
      <w:r>
        <w:t>Whether any lawful exception, privilege, limitation, or constitutional barrier authorizes continued nonproduction.</w:t>
      </w:r>
    </w:p>
    <w:p w14:paraId="33E5AB19" w14:textId="77777777" w:rsidR="00F600DD" w:rsidRDefault="00C73B7E">
      <w:pPr>
        <w:pStyle w:val="ListParagraph"/>
        <w:numPr>
          <w:ilvl w:val="1"/>
          <w:numId w:val="7"/>
        </w:numPr>
        <w:spacing w:after="200"/>
        <w:jc w:val="both"/>
      </w:pPr>
      <w:r>
        <w:t>The source, scope, and limits of any authority asserted for withholding.</w:t>
      </w:r>
    </w:p>
    <w:p w14:paraId="0CE1A617" w14:textId="77777777" w:rsidR="00F600DD" w:rsidRDefault="00C73B7E">
      <w:pPr>
        <w:pStyle w:val="ListParagraph"/>
        <w:numPr>
          <w:ilvl w:val="1"/>
          <w:numId w:val="7"/>
        </w:numPr>
        <w:spacing w:after="200"/>
        <w:jc w:val="both"/>
      </w:pPr>
      <w:r>
        <w:t xml:space="preserve">The official or office responsible for performance of any ministerial duty </w:t>
      </w:r>
      <w:proofErr w:type="gramStart"/>
      <w:r>
        <w:t>found</w:t>
      </w:r>
      <w:proofErr w:type="gramEnd"/>
      <w:r>
        <w:t xml:space="preserve"> to exist.</w:t>
      </w:r>
    </w:p>
    <w:p w14:paraId="47AD8930" w14:textId="77777777" w:rsidR="00F600DD" w:rsidRDefault="00C73B7E">
      <w:pPr>
        <w:pStyle w:val="ListParagraph"/>
        <w:numPr>
          <w:ilvl w:val="1"/>
          <w:numId w:val="7"/>
        </w:numPr>
        <w:spacing w:after="200"/>
        <w:jc w:val="both"/>
      </w:pPr>
      <w:r>
        <w:t>The process by which the records must be produced or made available.</w:t>
      </w:r>
    </w:p>
    <w:p w14:paraId="6774BF31" w14:textId="77777777" w:rsidR="00F600DD" w:rsidRDefault="00C73B7E">
      <w:pPr>
        <w:spacing w:before="300" w:after="200"/>
      </w:pPr>
      <w:r>
        <w:rPr>
          <w:b/>
          <w:bCs/>
        </w:rPr>
        <w:t>VII. CLAIM FOR INJUNCTIVE AND MANDAMUS-TYPE RELIEF</w:t>
      </w:r>
    </w:p>
    <w:p w14:paraId="04D7A2F4" w14:textId="77777777" w:rsidR="00F600DD" w:rsidRDefault="00C73B7E">
      <w:pPr>
        <w:pStyle w:val="ListParagraph"/>
        <w:numPr>
          <w:ilvl w:val="0"/>
          <w:numId w:val="8"/>
        </w:numPr>
        <w:spacing w:after="200"/>
        <w:jc w:val="both"/>
      </w:pPr>
      <w:r>
        <w:t>Plaintiff incorporates the preceding paragraphs.</w:t>
      </w:r>
    </w:p>
    <w:p w14:paraId="5F93308C" w14:textId="77777777" w:rsidR="00F600DD" w:rsidRDefault="00C73B7E">
      <w:pPr>
        <w:pStyle w:val="ListParagraph"/>
        <w:numPr>
          <w:ilvl w:val="0"/>
          <w:numId w:val="8"/>
        </w:numPr>
        <w:spacing w:after="200"/>
        <w:jc w:val="both"/>
      </w:pPr>
      <w:r>
        <w:t>To the extent the Court determines that a clear legal duty exists requiring the production, release, or availability of the requested records, Plaintiff seeks an order requiring the responsible public officer or body to perform that duty.</w:t>
      </w:r>
    </w:p>
    <w:p w14:paraId="2CBA56C2" w14:textId="77777777" w:rsidR="00F600DD" w:rsidRDefault="00C73B7E">
      <w:pPr>
        <w:pStyle w:val="ListParagraph"/>
        <w:numPr>
          <w:ilvl w:val="0"/>
          <w:numId w:val="8"/>
        </w:numPr>
        <w:spacing w:after="200"/>
        <w:jc w:val="both"/>
      </w:pPr>
      <w:r>
        <w:lastRenderedPageBreak/>
        <w:t>Plaintiff seeks only prospective, lawful, and specifically defined relief. Plaintiff does not request the Court to supervise legislative discretion, compel an act that is not ministerial, or decide questions not properly presented by the record.</w:t>
      </w:r>
    </w:p>
    <w:p w14:paraId="039F1989" w14:textId="77777777" w:rsidR="00F600DD" w:rsidRDefault="00C73B7E">
      <w:pPr>
        <w:pStyle w:val="ListParagraph"/>
        <w:numPr>
          <w:ilvl w:val="0"/>
          <w:numId w:val="8"/>
        </w:numPr>
        <w:spacing w:after="200"/>
        <w:jc w:val="both"/>
      </w:pPr>
      <w:r>
        <w:t>Plaintiff requests an order requiring Defendants to identify, within a time established by the Court, the precise records at issue; the custodian of each record; the legal basis for any withholding; and the method, date, and manner by which any duty of production will be discharged.</w:t>
      </w:r>
    </w:p>
    <w:p w14:paraId="09A35412" w14:textId="77777777" w:rsidR="00F600DD" w:rsidRDefault="00C73B7E">
      <w:pPr>
        <w:spacing w:before="300" w:after="200"/>
      </w:pPr>
      <w:r>
        <w:rPr>
          <w:b/>
          <w:bCs/>
        </w:rPr>
        <w:t>VIII. REQUEST FOR RELIEF</w:t>
      </w:r>
    </w:p>
    <w:p w14:paraId="59DCEBF6" w14:textId="77777777" w:rsidR="00F600DD" w:rsidRDefault="00C73B7E">
      <w:pPr>
        <w:spacing w:after="200"/>
        <w:jc w:val="both"/>
      </w:pPr>
      <w:r>
        <w:t>WHEREFORE, Plaintiff respectfully requests that this Court:</w:t>
      </w:r>
    </w:p>
    <w:p w14:paraId="0B5529C4" w14:textId="77777777" w:rsidR="00F600DD" w:rsidRDefault="00C73B7E">
      <w:pPr>
        <w:pStyle w:val="ListParagraph"/>
        <w:numPr>
          <w:ilvl w:val="0"/>
          <w:numId w:val="9"/>
        </w:numPr>
        <w:spacing w:after="200"/>
        <w:jc w:val="both"/>
      </w:pPr>
      <w:r>
        <w:t>Declare the rights, duties, and legal relations of the parties concerning the requested financial records.</w:t>
      </w:r>
    </w:p>
    <w:p w14:paraId="5D2FFF2C" w14:textId="77777777" w:rsidR="00F600DD" w:rsidRDefault="00C73B7E">
      <w:pPr>
        <w:pStyle w:val="ListParagraph"/>
        <w:numPr>
          <w:ilvl w:val="0"/>
          <w:numId w:val="9"/>
        </w:numPr>
        <w:spacing w:after="200"/>
        <w:jc w:val="both"/>
      </w:pPr>
      <w:r>
        <w:t>Determine whether a clear ministerial duty exists requiring the production, availability, or delivery of the requested records for audit.</w:t>
      </w:r>
    </w:p>
    <w:p w14:paraId="155D12F4" w14:textId="77777777" w:rsidR="00F600DD" w:rsidRDefault="00C73B7E">
      <w:pPr>
        <w:pStyle w:val="ListParagraph"/>
        <w:numPr>
          <w:ilvl w:val="0"/>
          <w:numId w:val="9"/>
        </w:numPr>
        <w:spacing w:after="200"/>
        <w:jc w:val="both"/>
      </w:pPr>
      <w:r>
        <w:t>Require Defendants to identify the complete legal basis for every record withheld, including the specific authority, limitation, exception, or privilege claimed, and reconcile that basis with Article V and Article XXX of the Massachusetts Declaration of Rights.</w:t>
      </w:r>
    </w:p>
    <w:p w14:paraId="2EACD78F" w14:textId="77777777" w:rsidR="00F600DD" w:rsidRDefault="00C73B7E">
      <w:pPr>
        <w:pStyle w:val="ListParagraph"/>
        <w:numPr>
          <w:ilvl w:val="0"/>
          <w:numId w:val="9"/>
        </w:numPr>
        <w:spacing w:after="200"/>
        <w:jc w:val="both"/>
      </w:pPr>
      <w:r>
        <w:t>To the extent a clear legal duty is established, enter prospective relief requiring the responsible officer or body to perform that duty within a period fixed by the Court.</w:t>
      </w:r>
    </w:p>
    <w:p w14:paraId="37D65647" w14:textId="77777777" w:rsidR="00F600DD" w:rsidRDefault="00C73B7E">
      <w:pPr>
        <w:pStyle w:val="ListParagraph"/>
        <w:numPr>
          <w:ilvl w:val="0"/>
          <w:numId w:val="9"/>
        </w:numPr>
        <w:spacing w:after="200"/>
        <w:jc w:val="both"/>
      </w:pPr>
      <w:r>
        <w:t>Preserve the attached constitutional record, including the Notice, Notice of Default, Affidavit of Default, Presumption Notice, Senate Resolution S3104, proofs of service, and all relevant correspondence.</w:t>
      </w:r>
    </w:p>
    <w:p w14:paraId="34B8A6A7" w14:textId="77777777" w:rsidR="00F600DD" w:rsidRDefault="00C73B7E">
      <w:pPr>
        <w:pStyle w:val="ListParagraph"/>
        <w:numPr>
          <w:ilvl w:val="0"/>
          <w:numId w:val="9"/>
        </w:numPr>
        <w:spacing w:after="200"/>
        <w:jc w:val="both"/>
      </w:pPr>
      <w:r>
        <w:t>Award such other lawful and equitable relief as the Court determines proper.</w:t>
      </w:r>
    </w:p>
    <w:p w14:paraId="2ADE2BBC" w14:textId="77777777" w:rsidR="00F600DD" w:rsidRDefault="00C73B7E">
      <w:pPr>
        <w:spacing w:before="400" w:after="200"/>
        <w:jc w:val="both"/>
      </w:pPr>
      <w:r>
        <w:t>Respectfully submitted,</w:t>
      </w:r>
    </w:p>
    <w:p w14:paraId="2840A7AF" w14:textId="77777777" w:rsidR="00F600DD" w:rsidRDefault="00C73B7E">
      <w:pPr>
        <w:spacing w:after="20"/>
        <w:jc w:val="both"/>
      </w:pPr>
      <w:r>
        <w:t>Paul Carnie, Pro Se</w:t>
      </w:r>
    </w:p>
    <w:p w14:paraId="536DBCFD" w14:textId="77777777" w:rsidR="00F600DD" w:rsidRDefault="00C73B7E">
      <w:pPr>
        <w:spacing w:after="20"/>
        <w:jc w:val="both"/>
      </w:pPr>
      <w:r>
        <w:t>Address: __________________________</w:t>
      </w:r>
    </w:p>
    <w:p w14:paraId="33F81CA3" w14:textId="77777777" w:rsidR="00F600DD" w:rsidRDefault="00C73B7E">
      <w:pPr>
        <w:spacing w:after="20"/>
        <w:jc w:val="both"/>
      </w:pPr>
      <w:r>
        <w:t>Telephone: ________________________     Email: ____________________________</w:t>
      </w:r>
    </w:p>
    <w:p w14:paraId="506F742D" w14:textId="77777777" w:rsidR="00F600DD" w:rsidRDefault="00C73B7E">
      <w:pPr>
        <w:spacing w:after="400"/>
        <w:jc w:val="both"/>
      </w:pPr>
      <w:r>
        <w:t>Dated: __________________, 2026</w:t>
      </w:r>
    </w:p>
    <w:p w14:paraId="5EC8CFD1" w14:textId="77777777" w:rsidR="00F600DD" w:rsidRDefault="00C73B7E">
      <w:pPr>
        <w:spacing w:before="200" w:after="200"/>
        <w:jc w:val="center"/>
      </w:pPr>
      <w:r>
        <w:rPr>
          <w:b/>
          <w:bCs/>
        </w:rPr>
        <w:t>VERIFICATION</w:t>
      </w:r>
    </w:p>
    <w:p w14:paraId="58D96D3A" w14:textId="77777777" w:rsidR="00F600DD" w:rsidRDefault="00C73B7E">
      <w:pPr>
        <w:spacing w:after="200"/>
        <w:jc w:val="both"/>
      </w:pPr>
      <w:r>
        <w:t xml:space="preserve">I, Paul Carnie, </w:t>
      </w:r>
      <w:proofErr w:type="gramStart"/>
      <w:r>
        <w:t>declare</w:t>
      </w:r>
      <w:proofErr w:type="gramEnd"/>
      <w:r>
        <w:t xml:space="preserve"> under the pains and penalties of perjury that I have read the foregoing Verified Complaint and that the factual statements contained in it are true and correct to the best of my knowledge, information, and belief.</w:t>
      </w:r>
    </w:p>
    <w:p w14:paraId="28401DEB" w14:textId="77777777" w:rsidR="00F600DD" w:rsidRDefault="00C73B7E">
      <w:pPr>
        <w:spacing w:after="400"/>
        <w:jc w:val="both"/>
      </w:pPr>
      <w:r>
        <w:t>Executed this ____ day of ________________, 2026.</w:t>
      </w:r>
    </w:p>
    <w:p w14:paraId="3EC87DAA" w14:textId="77777777" w:rsidR="00F600DD" w:rsidRDefault="00C73B7E">
      <w:pPr>
        <w:spacing w:after="40"/>
        <w:jc w:val="both"/>
      </w:pPr>
      <w:r>
        <w:t>_______________________________________</w:t>
      </w:r>
    </w:p>
    <w:p w14:paraId="2C89AC90" w14:textId="77777777" w:rsidR="00F600DD" w:rsidRDefault="00C73B7E">
      <w:pPr>
        <w:spacing w:after="400"/>
        <w:jc w:val="both"/>
      </w:pPr>
      <w:r>
        <w:lastRenderedPageBreak/>
        <w:t>Paul Carnie</w:t>
      </w:r>
    </w:p>
    <w:p w14:paraId="38ADE6EE" w14:textId="77777777" w:rsidR="00F600DD" w:rsidRDefault="00C73B7E">
      <w:pPr>
        <w:spacing w:before="200" w:after="200"/>
        <w:jc w:val="center"/>
      </w:pPr>
      <w:r>
        <w:rPr>
          <w:b/>
          <w:bCs/>
        </w:rPr>
        <w:t>CERTIFICATE OF SERVICE</w:t>
      </w:r>
    </w:p>
    <w:p w14:paraId="02811168" w14:textId="77777777" w:rsidR="00F600DD" w:rsidRDefault="00C73B7E">
      <w:pPr>
        <w:spacing w:after="400"/>
        <w:jc w:val="both"/>
      </w:pPr>
      <w:r>
        <w:t>I certify that on __________________, 2026, I caused a true and correct copy of this Verified Complaint, together with all attached exhibits, to be served upon the Defendants by the following method:</w:t>
      </w:r>
    </w:p>
    <w:p w14:paraId="2C856733" w14:textId="77777777" w:rsidR="00F600DD" w:rsidRDefault="00C73B7E">
      <w:pPr>
        <w:spacing w:after="40"/>
        <w:jc w:val="both"/>
      </w:pPr>
      <w:r>
        <w:t>_______________________________________</w:t>
      </w:r>
    </w:p>
    <w:p w14:paraId="14D4CDA6" w14:textId="77777777" w:rsidR="00F600DD" w:rsidRDefault="00C73B7E">
      <w:pPr>
        <w:jc w:val="both"/>
      </w:pPr>
      <w:r>
        <w:t>Paul Carnie</w:t>
      </w:r>
    </w:p>
    <w:sectPr w:rsidR="00F600DD">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A55A" w14:textId="77777777" w:rsidR="00C73B7E" w:rsidRDefault="00C73B7E">
      <w:r>
        <w:separator/>
      </w:r>
    </w:p>
  </w:endnote>
  <w:endnote w:type="continuationSeparator" w:id="0">
    <w:p w14:paraId="7F9C5D66" w14:textId="77777777" w:rsidR="00C73B7E" w:rsidRDefault="00C7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8E3A" w14:textId="77777777" w:rsidR="00F600DD" w:rsidRDefault="00C73B7E">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A04F1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5FB3" w14:textId="77777777" w:rsidR="00C73B7E" w:rsidRDefault="00C73B7E">
      <w:r>
        <w:separator/>
      </w:r>
    </w:p>
  </w:footnote>
  <w:footnote w:type="continuationSeparator" w:id="0">
    <w:p w14:paraId="36A30A1D" w14:textId="77777777" w:rsidR="00C73B7E" w:rsidRDefault="00C73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45CC2"/>
    <w:multiLevelType w:val="hybridMultilevel"/>
    <w:tmpl w:val="AFEEADF6"/>
    <w:lvl w:ilvl="0" w:tplc="253CE99E">
      <w:start w:val="1"/>
      <w:numFmt w:val="decimal"/>
      <w:lvlText w:val="%1."/>
      <w:lvlJc w:val="left"/>
      <w:pPr>
        <w:ind w:left="720" w:hanging="360"/>
      </w:pPr>
    </w:lvl>
    <w:lvl w:ilvl="1" w:tplc="FA6A4FE8">
      <w:start w:val="1"/>
      <w:numFmt w:val="lowerLetter"/>
      <w:lvlText w:val="%2."/>
      <w:lvlJc w:val="left"/>
      <w:pPr>
        <w:ind w:left="1440" w:hanging="360"/>
      </w:pPr>
    </w:lvl>
    <w:lvl w:ilvl="2" w:tplc="EE54C0F4">
      <w:numFmt w:val="decimal"/>
      <w:lvlText w:val=""/>
      <w:lvlJc w:val="left"/>
    </w:lvl>
    <w:lvl w:ilvl="3" w:tplc="C5C80C6E">
      <w:numFmt w:val="decimal"/>
      <w:lvlText w:val=""/>
      <w:lvlJc w:val="left"/>
    </w:lvl>
    <w:lvl w:ilvl="4" w:tplc="4DE00450">
      <w:numFmt w:val="decimal"/>
      <w:lvlText w:val=""/>
      <w:lvlJc w:val="left"/>
    </w:lvl>
    <w:lvl w:ilvl="5" w:tplc="ECBEE644">
      <w:numFmt w:val="decimal"/>
      <w:lvlText w:val=""/>
      <w:lvlJc w:val="left"/>
    </w:lvl>
    <w:lvl w:ilvl="6" w:tplc="71BA6626">
      <w:numFmt w:val="decimal"/>
      <w:lvlText w:val=""/>
      <w:lvlJc w:val="left"/>
    </w:lvl>
    <w:lvl w:ilvl="7" w:tplc="50702DD6">
      <w:numFmt w:val="decimal"/>
      <w:lvlText w:val=""/>
      <w:lvlJc w:val="left"/>
    </w:lvl>
    <w:lvl w:ilvl="8" w:tplc="EA267878">
      <w:numFmt w:val="decimal"/>
      <w:lvlText w:val=""/>
      <w:lvlJc w:val="left"/>
    </w:lvl>
  </w:abstractNum>
  <w:abstractNum w:abstractNumId="1" w15:restartNumberingAfterBreak="0">
    <w:nsid w:val="2B8B2514"/>
    <w:multiLevelType w:val="hybridMultilevel"/>
    <w:tmpl w:val="3176DF7A"/>
    <w:lvl w:ilvl="0" w:tplc="094C05BA">
      <w:start w:val="1"/>
      <w:numFmt w:val="decimal"/>
      <w:lvlText w:val="%1."/>
      <w:lvlJc w:val="left"/>
      <w:pPr>
        <w:ind w:left="720" w:hanging="360"/>
      </w:pPr>
    </w:lvl>
    <w:lvl w:ilvl="1" w:tplc="F7ECA38A">
      <w:start w:val="1"/>
      <w:numFmt w:val="lowerLetter"/>
      <w:lvlText w:val="%2."/>
      <w:lvlJc w:val="left"/>
      <w:pPr>
        <w:ind w:left="1440" w:hanging="360"/>
      </w:pPr>
    </w:lvl>
    <w:lvl w:ilvl="2" w:tplc="5B44D74E">
      <w:numFmt w:val="decimal"/>
      <w:lvlText w:val=""/>
      <w:lvlJc w:val="left"/>
    </w:lvl>
    <w:lvl w:ilvl="3" w:tplc="80EC82F4">
      <w:numFmt w:val="decimal"/>
      <w:lvlText w:val=""/>
      <w:lvlJc w:val="left"/>
    </w:lvl>
    <w:lvl w:ilvl="4" w:tplc="2C9E0944">
      <w:numFmt w:val="decimal"/>
      <w:lvlText w:val=""/>
      <w:lvlJc w:val="left"/>
    </w:lvl>
    <w:lvl w:ilvl="5" w:tplc="EDAA38E2">
      <w:numFmt w:val="decimal"/>
      <w:lvlText w:val=""/>
      <w:lvlJc w:val="left"/>
    </w:lvl>
    <w:lvl w:ilvl="6" w:tplc="BED8E400">
      <w:numFmt w:val="decimal"/>
      <w:lvlText w:val=""/>
      <w:lvlJc w:val="left"/>
    </w:lvl>
    <w:lvl w:ilvl="7" w:tplc="60FCF896">
      <w:numFmt w:val="decimal"/>
      <w:lvlText w:val=""/>
      <w:lvlJc w:val="left"/>
    </w:lvl>
    <w:lvl w:ilvl="8" w:tplc="451E08C2">
      <w:numFmt w:val="decimal"/>
      <w:lvlText w:val=""/>
      <w:lvlJc w:val="left"/>
    </w:lvl>
  </w:abstractNum>
  <w:abstractNum w:abstractNumId="2" w15:restartNumberingAfterBreak="0">
    <w:nsid w:val="2C3B0EA8"/>
    <w:multiLevelType w:val="hybridMultilevel"/>
    <w:tmpl w:val="E0222202"/>
    <w:lvl w:ilvl="0" w:tplc="E8C80852">
      <w:start w:val="1"/>
      <w:numFmt w:val="decimal"/>
      <w:lvlText w:val="%1."/>
      <w:lvlJc w:val="left"/>
      <w:pPr>
        <w:ind w:left="720" w:hanging="360"/>
      </w:pPr>
    </w:lvl>
    <w:lvl w:ilvl="1" w:tplc="A6720000">
      <w:start w:val="1"/>
      <w:numFmt w:val="lowerLetter"/>
      <w:lvlText w:val="%2."/>
      <w:lvlJc w:val="left"/>
      <w:pPr>
        <w:ind w:left="1440" w:hanging="360"/>
      </w:pPr>
    </w:lvl>
    <w:lvl w:ilvl="2" w:tplc="4A44A324">
      <w:numFmt w:val="decimal"/>
      <w:lvlText w:val=""/>
      <w:lvlJc w:val="left"/>
    </w:lvl>
    <w:lvl w:ilvl="3" w:tplc="481246CA">
      <w:numFmt w:val="decimal"/>
      <w:lvlText w:val=""/>
      <w:lvlJc w:val="left"/>
    </w:lvl>
    <w:lvl w:ilvl="4" w:tplc="19763630">
      <w:numFmt w:val="decimal"/>
      <w:lvlText w:val=""/>
      <w:lvlJc w:val="left"/>
    </w:lvl>
    <w:lvl w:ilvl="5" w:tplc="5F5EF53C">
      <w:numFmt w:val="decimal"/>
      <w:lvlText w:val=""/>
      <w:lvlJc w:val="left"/>
    </w:lvl>
    <w:lvl w:ilvl="6" w:tplc="95E049AE">
      <w:numFmt w:val="decimal"/>
      <w:lvlText w:val=""/>
      <w:lvlJc w:val="left"/>
    </w:lvl>
    <w:lvl w:ilvl="7" w:tplc="ECBC858E">
      <w:numFmt w:val="decimal"/>
      <w:lvlText w:val=""/>
      <w:lvlJc w:val="left"/>
    </w:lvl>
    <w:lvl w:ilvl="8" w:tplc="26421630">
      <w:numFmt w:val="decimal"/>
      <w:lvlText w:val=""/>
      <w:lvlJc w:val="left"/>
    </w:lvl>
  </w:abstractNum>
  <w:abstractNum w:abstractNumId="3" w15:restartNumberingAfterBreak="0">
    <w:nsid w:val="2D9C0396"/>
    <w:multiLevelType w:val="hybridMultilevel"/>
    <w:tmpl w:val="843A14D4"/>
    <w:lvl w:ilvl="0" w:tplc="5B7AC74A">
      <w:start w:val="1"/>
      <w:numFmt w:val="upperLetter"/>
      <w:lvlText w:val="%1."/>
      <w:lvlJc w:val="left"/>
      <w:pPr>
        <w:ind w:left="720" w:hanging="360"/>
      </w:pPr>
    </w:lvl>
    <w:lvl w:ilvl="1" w:tplc="1A406E28">
      <w:numFmt w:val="decimal"/>
      <w:lvlText w:val=""/>
      <w:lvlJc w:val="left"/>
    </w:lvl>
    <w:lvl w:ilvl="2" w:tplc="69149F08">
      <w:numFmt w:val="decimal"/>
      <w:lvlText w:val=""/>
      <w:lvlJc w:val="left"/>
    </w:lvl>
    <w:lvl w:ilvl="3" w:tplc="9A4A9DA8">
      <w:numFmt w:val="decimal"/>
      <w:lvlText w:val=""/>
      <w:lvlJc w:val="left"/>
    </w:lvl>
    <w:lvl w:ilvl="4" w:tplc="D2687B98">
      <w:numFmt w:val="decimal"/>
      <w:lvlText w:val=""/>
      <w:lvlJc w:val="left"/>
    </w:lvl>
    <w:lvl w:ilvl="5" w:tplc="FE687DEA">
      <w:numFmt w:val="decimal"/>
      <w:lvlText w:val=""/>
      <w:lvlJc w:val="left"/>
    </w:lvl>
    <w:lvl w:ilvl="6" w:tplc="E1F4FAF2">
      <w:numFmt w:val="decimal"/>
      <w:lvlText w:val=""/>
      <w:lvlJc w:val="left"/>
    </w:lvl>
    <w:lvl w:ilvl="7" w:tplc="9EF483E6">
      <w:numFmt w:val="decimal"/>
      <w:lvlText w:val=""/>
      <w:lvlJc w:val="left"/>
    </w:lvl>
    <w:lvl w:ilvl="8" w:tplc="9050B968">
      <w:numFmt w:val="decimal"/>
      <w:lvlText w:val=""/>
      <w:lvlJc w:val="left"/>
    </w:lvl>
  </w:abstractNum>
  <w:abstractNum w:abstractNumId="4" w15:restartNumberingAfterBreak="0">
    <w:nsid w:val="5176571B"/>
    <w:multiLevelType w:val="hybridMultilevel"/>
    <w:tmpl w:val="BF940560"/>
    <w:lvl w:ilvl="0" w:tplc="B71C64DA">
      <w:start w:val="1"/>
      <w:numFmt w:val="decimal"/>
      <w:lvlText w:val="%1."/>
      <w:lvlJc w:val="left"/>
      <w:pPr>
        <w:ind w:left="720" w:hanging="360"/>
      </w:pPr>
    </w:lvl>
    <w:lvl w:ilvl="1" w:tplc="877875EA">
      <w:start w:val="1"/>
      <w:numFmt w:val="lowerLetter"/>
      <w:lvlText w:val="%2."/>
      <w:lvlJc w:val="left"/>
      <w:pPr>
        <w:ind w:left="1440" w:hanging="360"/>
      </w:pPr>
    </w:lvl>
    <w:lvl w:ilvl="2" w:tplc="0604097C">
      <w:numFmt w:val="decimal"/>
      <w:lvlText w:val=""/>
      <w:lvlJc w:val="left"/>
    </w:lvl>
    <w:lvl w:ilvl="3" w:tplc="4E1A97DA">
      <w:numFmt w:val="decimal"/>
      <w:lvlText w:val=""/>
      <w:lvlJc w:val="left"/>
    </w:lvl>
    <w:lvl w:ilvl="4" w:tplc="F1D8A758">
      <w:numFmt w:val="decimal"/>
      <w:lvlText w:val=""/>
      <w:lvlJc w:val="left"/>
    </w:lvl>
    <w:lvl w:ilvl="5" w:tplc="7FDEC644">
      <w:numFmt w:val="decimal"/>
      <w:lvlText w:val=""/>
      <w:lvlJc w:val="left"/>
    </w:lvl>
    <w:lvl w:ilvl="6" w:tplc="ABF0870C">
      <w:numFmt w:val="decimal"/>
      <w:lvlText w:val=""/>
      <w:lvlJc w:val="left"/>
    </w:lvl>
    <w:lvl w:ilvl="7" w:tplc="81B43F4A">
      <w:numFmt w:val="decimal"/>
      <w:lvlText w:val=""/>
      <w:lvlJc w:val="left"/>
    </w:lvl>
    <w:lvl w:ilvl="8" w:tplc="4D94B520">
      <w:numFmt w:val="decimal"/>
      <w:lvlText w:val=""/>
      <w:lvlJc w:val="left"/>
    </w:lvl>
  </w:abstractNum>
  <w:abstractNum w:abstractNumId="5" w15:restartNumberingAfterBreak="0">
    <w:nsid w:val="56D166A1"/>
    <w:multiLevelType w:val="hybridMultilevel"/>
    <w:tmpl w:val="E10E7A36"/>
    <w:lvl w:ilvl="0" w:tplc="E132BA00">
      <w:start w:val="1"/>
      <w:numFmt w:val="decimal"/>
      <w:lvlText w:val="%1."/>
      <w:lvlJc w:val="left"/>
      <w:pPr>
        <w:ind w:left="720" w:hanging="360"/>
      </w:pPr>
    </w:lvl>
    <w:lvl w:ilvl="1" w:tplc="0DE8BF04">
      <w:start w:val="1"/>
      <w:numFmt w:val="lowerLetter"/>
      <w:lvlText w:val="%2."/>
      <w:lvlJc w:val="left"/>
      <w:pPr>
        <w:ind w:left="1440" w:hanging="360"/>
      </w:pPr>
    </w:lvl>
    <w:lvl w:ilvl="2" w:tplc="ABFC8BA8">
      <w:numFmt w:val="decimal"/>
      <w:lvlText w:val=""/>
      <w:lvlJc w:val="left"/>
    </w:lvl>
    <w:lvl w:ilvl="3" w:tplc="128016B4">
      <w:numFmt w:val="decimal"/>
      <w:lvlText w:val=""/>
      <w:lvlJc w:val="left"/>
    </w:lvl>
    <w:lvl w:ilvl="4" w:tplc="598016BA">
      <w:numFmt w:val="decimal"/>
      <w:lvlText w:val=""/>
      <w:lvlJc w:val="left"/>
    </w:lvl>
    <w:lvl w:ilvl="5" w:tplc="25CE967C">
      <w:numFmt w:val="decimal"/>
      <w:lvlText w:val=""/>
      <w:lvlJc w:val="left"/>
    </w:lvl>
    <w:lvl w:ilvl="6" w:tplc="A59E478A">
      <w:numFmt w:val="decimal"/>
      <w:lvlText w:val=""/>
      <w:lvlJc w:val="left"/>
    </w:lvl>
    <w:lvl w:ilvl="7" w:tplc="F3D834D2">
      <w:numFmt w:val="decimal"/>
      <w:lvlText w:val=""/>
      <w:lvlJc w:val="left"/>
    </w:lvl>
    <w:lvl w:ilvl="8" w:tplc="B22A8B7E">
      <w:numFmt w:val="decimal"/>
      <w:lvlText w:val=""/>
      <w:lvlJc w:val="left"/>
    </w:lvl>
  </w:abstractNum>
  <w:abstractNum w:abstractNumId="6" w15:restartNumberingAfterBreak="0">
    <w:nsid w:val="73850334"/>
    <w:multiLevelType w:val="hybridMultilevel"/>
    <w:tmpl w:val="171C04AE"/>
    <w:lvl w:ilvl="0" w:tplc="F278965E">
      <w:start w:val="1"/>
      <w:numFmt w:val="decimal"/>
      <w:lvlText w:val="%1."/>
      <w:lvlJc w:val="left"/>
      <w:pPr>
        <w:ind w:left="720" w:hanging="360"/>
      </w:pPr>
    </w:lvl>
    <w:lvl w:ilvl="1" w:tplc="FFB2F8DC">
      <w:start w:val="1"/>
      <w:numFmt w:val="lowerLetter"/>
      <w:lvlText w:val="%2."/>
      <w:lvlJc w:val="left"/>
      <w:pPr>
        <w:ind w:left="1440" w:hanging="360"/>
      </w:pPr>
    </w:lvl>
    <w:lvl w:ilvl="2" w:tplc="CB7CE042">
      <w:numFmt w:val="decimal"/>
      <w:lvlText w:val=""/>
      <w:lvlJc w:val="left"/>
    </w:lvl>
    <w:lvl w:ilvl="3" w:tplc="ECFE7DAE">
      <w:numFmt w:val="decimal"/>
      <w:lvlText w:val=""/>
      <w:lvlJc w:val="left"/>
    </w:lvl>
    <w:lvl w:ilvl="4" w:tplc="16007FC8">
      <w:numFmt w:val="decimal"/>
      <w:lvlText w:val=""/>
      <w:lvlJc w:val="left"/>
    </w:lvl>
    <w:lvl w:ilvl="5" w:tplc="883CD8F0">
      <w:numFmt w:val="decimal"/>
      <w:lvlText w:val=""/>
      <w:lvlJc w:val="left"/>
    </w:lvl>
    <w:lvl w:ilvl="6" w:tplc="FB8A7A80">
      <w:numFmt w:val="decimal"/>
      <w:lvlText w:val=""/>
      <w:lvlJc w:val="left"/>
    </w:lvl>
    <w:lvl w:ilvl="7" w:tplc="1A78D65C">
      <w:numFmt w:val="decimal"/>
      <w:lvlText w:val=""/>
      <w:lvlJc w:val="left"/>
    </w:lvl>
    <w:lvl w:ilvl="8" w:tplc="0FFED09E">
      <w:numFmt w:val="decimal"/>
      <w:lvlText w:val=""/>
      <w:lvlJc w:val="left"/>
    </w:lvl>
  </w:abstractNum>
  <w:abstractNum w:abstractNumId="7" w15:restartNumberingAfterBreak="0">
    <w:nsid w:val="79337943"/>
    <w:multiLevelType w:val="hybridMultilevel"/>
    <w:tmpl w:val="AE42B61C"/>
    <w:lvl w:ilvl="0" w:tplc="EB469FD4">
      <w:start w:val="1"/>
      <w:numFmt w:val="decimal"/>
      <w:lvlText w:val="%1."/>
      <w:lvlJc w:val="left"/>
      <w:pPr>
        <w:ind w:left="720" w:hanging="360"/>
      </w:pPr>
    </w:lvl>
    <w:lvl w:ilvl="1" w:tplc="28E417B8">
      <w:start w:val="1"/>
      <w:numFmt w:val="lowerLetter"/>
      <w:lvlText w:val="%2."/>
      <w:lvlJc w:val="left"/>
      <w:pPr>
        <w:ind w:left="1440" w:hanging="360"/>
      </w:pPr>
    </w:lvl>
    <w:lvl w:ilvl="2" w:tplc="54743BBE">
      <w:numFmt w:val="decimal"/>
      <w:lvlText w:val=""/>
      <w:lvlJc w:val="left"/>
    </w:lvl>
    <w:lvl w:ilvl="3" w:tplc="7A209CFE">
      <w:numFmt w:val="decimal"/>
      <w:lvlText w:val=""/>
      <w:lvlJc w:val="left"/>
    </w:lvl>
    <w:lvl w:ilvl="4" w:tplc="5D4CBEA6">
      <w:numFmt w:val="decimal"/>
      <w:lvlText w:val=""/>
      <w:lvlJc w:val="left"/>
    </w:lvl>
    <w:lvl w:ilvl="5" w:tplc="6EB24228">
      <w:numFmt w:val="decimal"/>
      <w:lvlText w:val=""/>
      <w:lvlJc w:val="left"/>
    </w:lvl>
    <w:lvl w:ilvl="6" w:tplc="5B623268">
      <w:numFmt w:val="decimal"/>
      <w:lvlText w:val=""/>
      <w:lvlJc w:val="left"/>
    </w:lvl>
    <w:lvl w:ilvl="7" w:tplc="2D64DE22">
      <w:numFmt w:val="decimal"/>
      <w:lvlText w:val=""/>
      <w:lvlJc w:val="left"/>
    </w:lvl>
    <w:lvl w:ilvl="8" w:tplc="589EF634">
      <w:numFmt w:val="decimal"/>
      <w:lvlText w:val=""/>
      <w:lvlJc w:val="left"/>
    </w:lvl>
  </w:abstractNum>
  <w:abstractNum w:abstractNumId="8" w15:restartNumberingAfterBreak="0">
    <w:nsid w:val="797E2D6C"/>
    <w:multiLevelType w:val="hybridMultilevel"/>
    <w:tmpl w:val="A1129ABA"/>
    <w:lvl w:ilvl="0" w:tplc="53880306">
      <w:start w:val="1"/>
      <w:numFmt w:val="bullet"/>
      <w:lvlText w:val="●"/>
      <w:lvlJc w:val="left"/>
      <w:pPr>
        <w:ind w:left="720" w:hanging="360"/>
      </w:pPr>
    </w:lvl>
    <w:lvl w:ilvl="1" w:tplc="78DC0E6C">
      <w:start w:val="1"/>
      <w:numFmt w:val="bullet"/>
      <w:lvlText w:val="○"/>
      <w:lvlJc w:val="left"/>
      <w:pPr>
        <w:ind w:left="1440" w:hanging="360"/>
      </w:pPr>
    </w:lvl>
    <w:lvl w:ilvl="2" w:tplc="900A53DA">
      <w:start w:val="1"/>
      <w:numFmt w:val="bullet"/>
      <w:lvlText w:val="■"/>
      <w:lvlJc w:val="left"/>
      <w:pPr>
        <w:ind w:left="2160" w:hanging="360"/>
      </w:pPr>
    </w:lvl>
    <w:lvl w:ilvl="3" w:tplc="35C8C518">
      <w:start w:val="1"/>
      <w:numFmt w:val="bullet"/>
      <w:lvlText w:val="●"/>
      <w:lvlJc w:val="left"/>
      <w:pPr>
        <w:ind w:left="2880" w:hanging="360"/>
      </w:pPr>
    </w:lvl>
    <w:lvl w:ilvl="4" w:tplc="C5583312">
      <w:start w:val="1"/>
      <w:numFmt w:val="bullet"/>
      <w:lvlText w:val="○"/>
      <w:lvlJc w:val="left"/>
      <w:pPr>
        <w:ind w:left="3600" w:hanging="360"/>
      </w:pPr>
    </w:lvl>
    <w:lvl w:ilvl="5" w:tplc="C268ADFA">
      <w:start w:val="1"/>
      <w:numFmt w:val="bullet"/>
      <w:lvlText w:val="■"/>
      <w:lvlJc w:val="left"/>
      <w:pPr>
        <w:ind w:left="4320" w:hanging="360"/>
      </w:pPr>
    </w:lvl>
    <w:lvl w:ilvl="6" w:tplc="CEF04154">
      <w:start w:val="1"/>
      <w:numFmt w:val="bullet"/>
      <w:lvlText w:val="●"/>
      <w:lvlJc w:val="left"/>
      <w:pPr>
        <w:ind w:left="5040" w:hanging="360"/>
      </w:pPr>
    </w:lvl>
    <w:lvl w:ilvl="7" w:tplc="9E8CE6FE">
      <w:start w:val="1"/>
      <w:numFmt w:val="bullet"/>
      <w:lvlText w:val="●"/>
      <w:lvlJc w:val="left"/>
      <w:pPr>
        <w:ind w:left="5760" w:hanging="360"/>
      </w:pPr>
    </w:lvl>
    <w:lvl w:ilvl="8" w:tplc="4CC2FC42">
      <w:start w:val="1"/>
      <w:numFmt w:val="bullet"/>
      <w:lvlText w:val="●"/>
      <w:lvlJc w:val="left"/>
      <w:pPr>
        <w:ind w:left="6480" w:hanging="360"/>
      </w:pPr>
    </w:lvl>
  </w:abstractNum>
  <w:num w:numId="1" w16cid:durableId="1778333826">
    <w:abstractNumId w:val="8"/>
    <w:lvlOverride w:ilvl="0">
      <w:startOverride w:val="1"/>
    </w:lvlOverride>
  </w:num>
  <w:num w:numId="2" w16cid:durableId="376976598">
    <w:abstractNumId w:val="5"/>
    <w:lvlOverride w:ilvl="0">
      <w:startOverride w:val="1"/>
    </w:lvlOverride>
  </w:num>
  <w:num w:numId="3" w16cid:durableId="493036254">
    <w:abstractNumId w:val="1"/>
    <w:lvlOverride w:ilvl="0">
      <w:startOverride w:val="1"/>
    </w:lvlOverride>
  </w:num>
  <w:num w:numId="4" w16cid:durableId="651716994">
    <w:abstractNumId w:val="2"/>
    <w:lvlOverride w:ilvl="0">
      <w:startOverride w:val="1"/>
    </w:lvlOverride>
  </w:num>
  <w:num w:numId="5" w16cid:durableId="154804802">
    <w:abstractNumId w:val="0"/>
    <w:lvlOverride w:ilvl="0">
      <w:startOverride w:val="1"/>
    </w:lvlOverride>
  </w:num>
  <w:num w:numId="6" w16cid:durableId="1764374282">
    <w:abstractNumId w:val="7"/>
    <w:lvlOverride w:ilvl="0">
      <w:startOverride w:val="1"/>
    </w:lvlOverride>
  </w:num>
  <w:num w:numId="7" w16cid:durableId="26374997">
    <w:abstractNumId w:val="6"/>
    <w:lvlOverride w:ilvl="0">
      <w:startOverride w:val="1"/>
    </w:lvlOverride>
  </w:num>
  <w:num w:numId="8" w16cid:durableId="1744643965">
    <w:abstractNumId w:val="4"/>
    <w:lvlOverride w:ilvl="0">
      <w:startOverride w:val="1"/>
    </w:lvlOverride>
  </w:num>
  <w:num w:numId="9" w16cid:durableId="19504291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DD"/>
    <w:rsid w:val="006877FD"/>
    <w:rsid w:val="00A04F13"/>
    <w:rsid w:val="00C73B7E"/>
    <w:rsid w:val="00F60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EB53"/>
  <w15:docId w15:val="{1ED3845F-83DA-4753-A8EE-5D2FECDE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2293</Words>
  <Characters>13235</Characters>
  <Application>Microsoft Office Word</Application>
  <DocSecurity>0</DocSecurity>
  <Lines>220</Lines>
  <Paragraphs>100</Paragraphs>
  <ScaleCrop>false</ScaleCrop>
  <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Publius Custos</cp:lastModifiedBy>
  <cp:revision>2</cp:revision>
  <dcterms:created xsi:type="dcterms:W3CDTF">2026-07-01T15:44:00Z</dcterms:created>
  <dcterms:modified xsi:type="dcterms:W3CDTF">2026-07-01T15:44:00Z</dcterms:modified>
</cp:coreProperties>
</file>